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5F1" w:rsidRPr="006125B6" w:rsidRDefault="00DB65F1" w:rsidP="00DB65F1">
      <w:pPr>
        <w:keepNext/>
        <w:keepLines/>
        <w:widowControl w:val="0"/>
        <w:autoSpaceDE w:val="0"/>
        <w:autoSpaceDN w:val="0"/>
        <w:spacing w:after="0" w:line="240" w:lineRule="auto"/>
        <w:outlineLvl w:val="1"/>
        <w:rPr>
          <w:rFonts w:eastAsia="Times New Roman" w:cs="Times New Roman"/>
          <w:sz w:val="28"/>
          <w:szCs w:val="28"/>
          <w:lang w:val="vi"/>
        </w:rPr>
      </w:pPr>
      <w:bookmarkStart w:id="0" w:name="_Toc86473030"/>
      <w:r w:rsidRPr="006125B6">
        <w:rPr>
          <w:rFonts w:eastAsia="Times New Roman" w:cs="Times New Roman"/>
          <w:b/>
          <w:caps/>
          <w:kern w:val="32"/>
          <w:sz w:val="24"/>
          <w:szCs w:val="24"/>
          <w:lang w:val="vi"/>
        </w:rPr>
        <w:t>CỨu hỘ, cỨu nẠn cho khách du lỊch</w:t>
      </w:r>
      <w:bookmarkEnd w:id="0"/>
      <w:r w:rsidRPr="006125B6">
        <w:rPr>
          <w:rFonts w:eastAsia="Times New Roman" w:cs="Times New Roman"/>
          <w:caps/>
          <w:sz w:val="28"/>
          <w:szCs w:val="28"/>
          <w:lang w:val="vi"/>
        </w:rPr>
        <w:t xml:space="preserve">, </w:t>
      </w:r>
      <w:r w:rsidRPr="006125B6">
        <w:rPr>
          <w:rFonts w:eastAsia="Times New Roman" w:cs="Times New Roman"/>
          <w:sz w:val="28"/>
          <w:szCs w:val="28"/>
          <w:lang w:val="vi"/>
        </w:rPr>
        <w:t xml:space="preserve">hoạt động nhằm bảo vệ tính mạng và tài sản cho khách du lịch trong quá trình thực hiện chương trình du lịch. </w:t>
      </w:r>
    </w:p>
    <w:p w:rsidR="00DB65F1" w:rsidRPr="006125B6" w:rsidRDefault="00DB65F1" w:rsidP="00DB65F1">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Yêu cầu về cứu hộ, cứu nạn cho khách du lịch xuất phát từ khả năng xảy ra những sự cố bất thường có nguy cơ ảnh hưởng đến tính mạng, sức khỏe và tài sản của khách du lịch trong quá trình đi du lịch. Trong mọi hoạt động trải nghiệm du lịch, đặc biệt là những hoạt động diễn ra ở những khu vực có điều kiện tự nhiên (khí hậu, địa hình, thủy văn, sinh thái) phức tạp và khắc nghiêt, sẽ luôn tiềm ẩn những tình huống nguy hiểm ngoài dự đoán do tác động của những yếu tố bên ngoài bất ngờ xảy ra như: giông, lốc xoáy, lũ quét, sụt lở đất, cháy rừng, động vật hoang dã tấn công… hoặc do chính sự bất cẩn, không tuân thủ quy định về an ninh, an toàn của khách du lịch trong hành trình du lịch của mình. </w:t>
      </w:r>
    </w:p>
    <w:p w:rsidR="00DB65F1" w:rsidRPr="006125B6" w:rsidRDefault="00DB65F1" w:rsidP="00DB65F1">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Hoạt động cứu hộ, cứu nạn sẽ chỉ được triển khai theo phương án ứng phó khi cơ quan chức năng nhận được thông tin về việc xảy ra tai nạn có ảnh hưởng trực tiếp đến tính mạng, sức khỏe và tài sản của khách. </w:t>
      </w:r>
    </w:p>
    <w:p w:rsidR="00DB65F1" w:rsidRPr="006125B6" w:rsidRDefault="00DB65F1" w:rsidP="00DB65F1">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Để đảm bảo sự an toàn tính mạng, sức khỏe và tài sản của khách du lịch, trong kế hoạch phát triển du lịch ở mọi điểm đến, ngoài những quy định về đảm bảo an ninh, an toàn mà khách du lịch phải tuân thủ, luôn có phương án cứu hộ, cứu nạn khách du lịch. Phương án này được xây dựng dựa trên những tình huống giả định có thể xảy ra phù hợp với điều kiện thực tế của điểm đến và bao gồm một số nội dung cơ bản: lực lượng và phương tiện cứu bộ, cứu nạn; phương án tổ chức và quy trình cứu hộ, cứu nạn; trách nhiệm và sự phối hợp của các bên tham gia. Những người được phân công tham gia đội cứu hộ, cứu nạn cho khách du lịch sẽ thực hiện nhiệm vụ theo bản mô tả công việc phù hợp với trách nhiệm và vị trí của mình. </w:t>
      </w:r>
    </w:p>
    <w:p w:rsidR="00DB65F1" w:rsidRPr="006125B6" w:rsidRDefault="00DB65F1" w:rsidP="00DB65F1">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Cơ quan quản lý nhà nước vềdu lịch có trách nhiệm phối hợp với các bên có liên quan xây dựng phương án cứu hộ, cứu nạn khách du lịch và quy định về đảm bảo an ninh an toàn trong hoạt động du lịch trình cấp có thẩm quyền xem xét phê duyệt. </w:t>
      </w:r>
    </w:p>
    <w:p w:rsidR="00DB65F1" w:rsidRPr="006125B6" w:rsidRDefault="00DB65F1" w:rsidP="00DB65F1">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Khách du lịch và các tổ chức cung cấp dịch vụ du lịch có trách nhiệm tuân thủ quy định về đảm bảo an ninh, an toàn trong hoạt động du lịch tại điểm đến từ việc cảnh báo nguy cơ gây nguy hiểm; trách nhiệm đảm bảo an ninh an toàn trong hành trình du lịch; thông tin và chỉ dẫn xử lý tình huống khẩn cấp khi xảy ra sự cố, tai nạn với du khách; các biện pháp xử lý, phối hợp giữa các bên có liên quan trong cứu hộ, cứu nạn khách du lịch</w:t>
      </w:r>
    </w:p>
    <w:p w:rsidR="00DB65F1" w:rsidRPr="006125B6" w:rsidRDefault="00DB65F1" w:rsidP="00DB65F1">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Về góc độ quản lý, cơ quan quản lý nhà nước ở địa phươnglà đầu mối chủ trì, các cơ quan quản lý chuyên ngành chịu trách nhiệm tiếp nhận thông tin và xử lý tính huống khẩn cấp ảnh hưởng đến tính mạng, sức khỏe và tài sản của khách du lịch theo chức năng quản lý được giao. </w:t>
      </w:r>
    </w:p>
    <w:p w:rsidR="00DB65F1" w:rsidRPr="006125B6" w:rsidRDefault="00DB65F1" w:rsidP="00DB65F1">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Để thực hiện việc cứu hộ, cứu nạn cho khách du lịch có hiệu quả, cần phải nâng cao năng lực của tổ chức cứu hộ, cứu nạn của địa phương nơi là điểm đến du lịch và sự sẵn sàng thực hiện phương án cứu hộ, cứu nạn khách du lịch đã được cấp có thẩm quyền phê duyệt. Bên cạnh đó, công tác quản lý, bảo vệ, kiểm tra về an ninh, an toàn cần phải được các bên có liên quan tuân thủ. </w:t>
      </w:r>
    </w:p>
    <w:p w:rsidR="00DB65F1" w:rsidRPr="006125B6" w:rsidRDefault="00DB65F1" w:rsidP="00DB65F1">
      <w:pPr>
        <w:widowControl w:val="0"/>
        <w:autoSpaceDE w:val="0"/>
        <w:autoSpaceDN w:val="0"/>
        <w:spacing w:after="0" w:line="240" w:lineRule="auto"/>
        <w:jc w:val="right"/>
        <w:rPr>
          <w:rFonts w:eastAsia="Times New Roman" w:cs="Times New Roman"/>
          <w:b/>
          <w:caps/>
          <w:sz w:val="22"/>
          <w:lang w:val="vi"/>
        </w:rPr>
      </w:pPr>
      <w:r w:rsidRPr="006125B6">
        <w:rPr>
          <w:rFonts w:eastAsia="Times New Roman" w:cs="Times New Roman"/>
          <w:b/>
          <w:caps/>
          <w:sz w:val="22"/>
          <w:lang w:val="vi"/>
        </w:rPr>
        <w:lastRenderedPageBreak/>
        <w:t>Vũ ChiẾn ThẮng</w:t>
      </w:r>
    </w:p>
    <w:p w:rsidR="00B14DFA" w:rsidRPr="00B14DFA" w:rsidRDefault="00B14DFA" w:rsidP="00B14DFA">
      <w:pPr>
        <w:widowControl w:val="0"/>
        <w:autoSpaceDE w:val="0"/>
        <w:autoSpaceDN w:val="0"/>
        <w:spacing w:after="0" w:line="240" w:lineRule="auto"/>
        <w:rPr>
          <w:rFonts w:eastAsia="Times New Roman" w:cs="Times New Roman"/>
          <w:b/>
          <w:bCs/>
          <w:spacing w:val="5"/>
          <w:sz w:val="24"/>
          <w:szCs w:val="24"/>
          <w:lang w:val="vi-VN"/>
        </w:rPr>
      </w:pPr>
      <w:bookmarkStart w:id="1" w:name="_GoBack"/>
      <w:bookmarkEnd w:id="1"/>
      <w:r w:rsidRPr="00B14DFA">
        <w:rPr>
          <w:rFonts w:eastAsia="Times New Roman" w:cs="Times New Roman"/>
          <w:b/>
          <w:bCs/>
          <w:spacing w:val="5"/>
          <w:sz w:val="24"/>
          <w:szCs w:val="24"/>
          <w:lang w:val="vi-VN"/>
        </w:rPr>
        <w:t>Tài liệu tham khảo:</w:t>
      </w:r>
    </w:p>
    <w:p w:rsidR="00B14DFA" w:rsidRPr="00B14DFA" w:rsidRDefault="00B14DFA" w:rsidP="00B14DFA">
      <w:pPr>
        <w:widowControl w:val="0"/>
        <w:numPr>
          <w:ilvl w:val="0"/>
          <w:numId w:val="1"/>
        </w:numPr>
        <w:shd w:val="clear" w:color="auto" w:fill="FFFFFF"/>
        <w:tabs>
          <w:tab w:val="left" w:pos="284"/>
        </w:tabs>
        <w:autoSpaceDE w:val="0"/>
        <w:autoSpaceDN w:val="0"/>
        <w:adjustRightInd w:val="0"/>
        <w:spacing w:after="0" w:line="240" w:lineRule="auto"/>
        <w:ind w:hanging="11"/>
        <w:contextualSpacing/>
        <w:jc w:val="left"/>
        <w:rPr>
          <w:rFonts w:eastAsia="Times New Roman" w:cs="Times New Roman"/>
          <w:sz w:val="24"/>
          <w:szCs w:val="24"/>
          <w:lang w:val="vi-VN"/>
        </w:rPr>
      </w:pPr>
      <w:r w:rsidRPr="00B14DFA">
        <w:rPr>
          <w:rFonts w:eastAsia="Times New Roman" w:cs="Times New Roman"/>
          <w:sz w:val="24"/>
          <w:szCs w:val="24"/>
          <w:lang w:val="vi-VN"/>
        </w:rPr>
        <w:t xml:space="preserve">ISO, </w:t>
      </w:r>
      <w:r w:rsidRPr="00B14DFA">
        <w:rPr>
          <w:rFonts w:eastAsia="Times New Roman" w:cs="Times New Roman"/>
          <w:i/>
          <w:sz w:val="24"/>
          <w:szCs w:val="24"/>
          <w:lang w:val="vi-VN"/>
        </w:rPr>
        <w:t>ISO 21101 Du lịch mạo hiểm - Hệ thống quản lý an toàn</w:t>
      </w:r>
      <w:r w:rsidRPr="00B14DFA">
        <w:rPr>
          <w:rFonts w:eastAsia="Times New Roman" w:cs="Times New Roman"/>
          <w:sz w:val="24"/>
          <w:szCs w:val="24"/>
          <w:lang w:val="vi-VN"/>
        </w:rPr>
        <w:t>, 2016, doi: ISBN 978-92-67-10665-6, tr.83.</w:t>
      </w:r>
    </w:p>
    <w:p w:rsidR="00B14DFA" w:rsidRPr="00B14DFA" w:rsidRDefault="00B14DFA" w:rsidP="00B14DFA">
      <w:pPr>
        <w:widowControl w:val="0"/>
        <w:numPr>
          <w:ilvl w:val="0"/>
          <w:numId w:val="1"/>
        </w:numPr>
        <w:shd w:val="clear" w:color="auto" w:fill="FFFFFF"/>
        <w:tabs>
          <w:tab w:val="left" w:pos="284"/>
        </w:tabs>
        <w:autoSpaceDE w:val="0"/>
        <w:autoSpaceDN w:val="0"/>
        <w:adjustRightInd w:val="0"/>
        <w:spacing w:after="0" w:line="240" w:lineRule="auto"/>
        <w:ind w:hanging="11"/>
        <w:contextualSpacing/>
        <w:jc w:val="left"/>
        <w:rPr>
          <w:rFonts w:eastAsia="Times New Roman" w:cs="Times New Roman"/>
          <w:sz w:val="24"/>
          <w:szCs w:val="24"/>
          <w:lang w:val="vi-VN"/>
        </w:rPr>
      </w:pPr>
      <w:r w:rsidRPr="00B14DFA">
        <w:rPr>
          <w:rFonts w:eastAsia="Times New Roman" w:cs="Times New Roman"/>
          <w:i/>
          <w:sz w:val="24"/>
          <w:szCs w:val="24"/>
          <w:lang w:val="vi-VN"/>
        </w:rPr>
        <w:t xml:space="preserve">Luật Du lịch, </w:t>
      </w:r>
      <w:r w:rsidRPr="00B14DFA">
        <w:rPr>
          <w:rFonts w:eastAsia="Times New Roman" w:cs="Times New Roman"/>
          <w:sz w:val="24"/>
          <w:szCs w:val="24"/>
          <w:lang w:val="vi-VN"/>
        </w:rPr>
        <w:t>Số 09/2017/QH14 ngày 19/6/2017, Quốc hội, Việt Nam, 2017, tr.7.</w:t>
      </w:r>
    </w:p>
    <w:p w:rsidR="00B14DFA" w:rsidRPr="00B14DFA" w:rsidRDefault="00B14DFA" w:rsidP="00B14DFA">
      <w:pPr>
        <w:widowControl w:val="0"/>
        <w:numPr>
          <w:ilvl w:val="0"/>
          <w:numId w:val="1"/>
        </w:numPr>
        <w:shd w:val="clear" w:color="auto" w:fill="FFFFFF"/>
        <w:tabs>
          <w:tab w:val="left" w:pos="284"/>
        </w:tabs>
        <w:autoSpaceDE w:val="0"/>
        <w:autoSpaceDN w:val="0"/>
        <w:adjustRightInd w:val="0"/>
        <w:spacing w:after="0" w:line="240" w:lineRule="auto"/>
        <w:ind w:hanging="11"/>
        <w:contextualSpacing/>
        <w:jc w:val="left"/>
        <w:rPr>
          <w:rFonts w:eastAsia="Times New Roman" w:cs="Times New Roman"/>
          <w:sz w:val="24"/>
          <w:szCs w:val="24"/>
          <w:lang w:val="vi-VN"/>
        </w:rPr>
      </w:pPr>
      <w:r w:rsidRPr="00B14DFA">
        <w:rPr>
          <w:rFonts w:eastAsia="Times New Roman" w:cs="Times New Roman"/>
          <w:sz w:val="24"/>
          <w:szCs w:val="24"/>
          <w:lang w:val="vi-VN"/>
        </w:rPr>
        <w:fldChar w:fldCharType="begin" w:fldLock="1"/>
      </w:r>
      <w:r w:rsidRPr="00B14DFA">
        <w:rPr>
          <w:rFonts w:eastAsia="Times New Roman" w:cs="Times New Roman"/>
          <w:sz w:val="24"/>
          <w:szCs w:val="24"/>
          <w:lang w:val="vi-VN"/>
        </w:rPr>
        <w:instrText xml:space="preserve">ADDIN Mendeley Bibliography CSL_BIBLIOGRAPHY </w:instrText>
      </w:r>
      <w:r w:rsidRPr="00B14DFA">
        <w:rPr>
          <w:rFonts w:eastAsia="Times New Roman" w:cs="Times New Roman"/>
          <w:sz w:val="24"/>
          <w:szCs w:val="24"/>
          <w:lang w:val="vi-VN"/>
        </w:rPr>
        <w:fldChar w:fldCharType="separate"/>
      </w:r>
      <w:r w:rsidRPr="00B14DFA">
        <w:rPr>
          <w:rFonts w:eastAsia="Times New Roman" w:cs="Times New Roman"/>
          <w:sz w:val="24"/>
          <w:szCs w:val="24"/>
          <w:lang w:val="vi-VN"/>
        </w:rPr>
        <w:t xml:space="preserve">A.Pizam, </w:t>
      </w:r>
      <w:r w:rsidRPr="00B14DFA">
        <w:rPr>
          <w:rFonts w:eastAsia="Times New Roman" w:cs="Times New Roman"/>
          <w:i/>
          <w:sz w:val="24"/>
          <w:szCs w:val="24"/>
          <w:lang w:val="vi-VN"/>
        </w:rPr>
        <w:t>International Encyclopedia of Hospitality Management</w:t>
      </w:r>
      <w:r w:rsidRPr="00B14DFA">
        <w:rPr>
          <w:rFonts w:eastAsia="Times New Roman" w:cs="Times New Roman"/>
          <w:sz w:val="24"/>
          <w:szCs w:val="24"/>
          <w:lang w:val="vi-VN"/>
        </w:rPr>
        <w:t xml:space="preserve">, </w:t>
      </w:r>
      <w:r w:rsidRPr="00B14DFA">
        <w:rPr>
          <w:rFonts w:eastAsia="Times New Roman" w:cs="Times New Roman"/>
          <w:iCs/>
          <w:sz w:val="24"/>
          <w:szCs w:val="24"/>
          <w:lang w:val="vi-VN"/>
        </w:rPr>
        <w:t>Routledge. https://doi.org/10.4324/9780080961200</w:t>
      </w:r>
      <w:r w:rsidRPr="00B14DFA">
        <w:rPr>
          <w:rFonts w:eastAsia="Times New Roman" w:cs="Times New Roman"/>
          <w:sz w:val="24"/>
          <w:szCs w:val="24"/>
          <w:lang w:val="vi-VN"/>
        </w:rPr>
        <w:t>, contingency theory, tr.109.</w:t>
      </w:r>
    </w:p>
    <w:p w:rsidR="00B14DFA" w:rsidRPr="00B14DFA" w:rsidRDefault="00B14DFA" w:rsidP="00B14DFA">
      <w:pPr>
        <w:widowControl w:val="0"/>
        <w:numPr>
          <w:ilvl w:val="0"/>
          <w:numId w:val="1"/>
        </w:numPr>
        <w:shd w:val="clear" w:color="auto" w:fill="FFFFFF"/>
        <w:tabs>
          <w:tab w:val="left" w:pos="284"/>
        </w:tabs>
        <w:autoSpaceDE w:val="0"/>
        <w:autoSpaceDN w:val="0"/>
        <w:adjustRightInd w:val="0"/>
        <w:spacing w:after="0" w:line="240" w:lineRule="auto"/>
        <w:ind w:hanging="11"/>
        <w:contextualSpacing/>
        <w:jc w:val="left"/>
        <w:rPr>
          <w:rFonts w:eastAsia="Times New Roman" w:cs="Times New Roman"/>
          <w:sz w:val="24"/>
          <w:szCs w:val="24"/>
          <w:lang w:val="vi-VN"/>
        </w:rPr>
      </w:pPr>
      <w:r w:rsidRPr="00B14DFA">
        <w:rPr>
          <w:rFonts w:eastAsia="Times New Roman" w:cs="Times New Roman"/>
          <w:iCs/>
          <w:sz w:val="24"/>
          <w:szCs w:val="24"/>
          <w:lang w:val="vi-VN"/>
        </w:rPr>
        <w:t xml:space="preserve">Brent W. Ritchie và Kom Campiranon, </w:t>
      </w:r>
      <w:r w:rsidRPr="00B14DFA">
        <w:rPr>
          <w:rFonts w:eastAsia="Times New Roman" w:cs="Times New Roman"/>
          <w:i/>
          <w:iCs/>
          <w:sz w:val="24"/>
          <w:szCs w:val="24"/>
          <w:lang w:val="vi-VN"/>
        </w:rPr>
        <w:t>Tourism Crisis and Disaster Management in the Asia-Pacific</w:t>
      </w:r>
      <w:r w:rsidRPr="00B14DFA">
        <w:rPr>
          <w:rFonts w:eastAsia="Times New Roman" w:cs="Times New Roman"/>
          <w:i/>
          <w:iCs/>
          <w:sz w:val="24"/>
          <w:szCs w:val="24"/>
          <w:lang w:val="en-SG"/>
        </w:rPr>
        <w:t>.</w:t>
      </w:r>
    </w:p>
    <w:p w:rsidR="00B14DFA" w:rsidRPr="00B14DFA" w:rsidRDefault="00B14DFA" w:rsidP="00B14DFA">
      <w:pPr>
        <w:widowControl w:val="0"/>
        <w:numPr>
          <w:ilvl w:val="0"/>
          <w:numId w:val="1"/>
        </w:numPr>
        <w:shd w:val="clear" w:color="auto" w:fill="FFFFFF"/>
        <w:tabs>
          <w:tab w:val="left" w:pos="284"/>
        </w:tabs>
        <w:autoSpaceDE w:val="0"/>
        <w:autoSpaceDN w:val="0"/>
        <w:adjustRightInd w:val="0"/>
        <w:spacing w:after="0" w:line="240" w:lineRule="auto"/>
        <w:ind w:hanging="11"/>
        <w:contextualSpacing/>
        <w:jc w:val="left"/>
        <w:rPr>
          <w:rFonts w:eastAsia="Times New Roman" w:cs="Times New Roman"/>
          <w:sz w:val="24"/>
          <w:szCs w:val="24"/>
          <w:lang w:val="vi-VN"/>
        </w:rPr>
      </w:pPr>
      <w:r w:rsidRPr="00B14DFA">
        <w:rPr>
          <w:rFonts w:eastAsia="Times New Roman" w:cs="Times New Roman"/>
          <w:sz w:val="24"/>
          <w:szCs w:val="24"/>
          <w:lang w:val="vi-VN"/>
        </w:rPr>
        <w:t xml:space="preserve">J. Jafari, </w:t>
      </w:r>
      <w:r w:rsidRPr="00B14DFA">
        <w:rPr>
          <w:rFonts w:eastAsia="Times New Roman" w:cs="Times New Roman"/>
          <w:i/>
          <w:iCs/>
          <w:sz w:val="24"/>
          <w:szCs w:val="24"/>
          <w:lang w:val="vi-VN"/>
        </w:rPr>
        <w:t>Encyclopedia of Tourism</w:t>
      </w:r>
      <w:r w:rsidRPr="00B14DFA">
        <w:rPr>
          <w:rFonts w:eastAsia="Times New Roman" w:cs="Times New Roman"/>
          <w:sz w:val="24"/>
          <w:szCs w:val="24"/>
          <w:lang w:val="vi-VN"/>
        </w:rPr>
        <w:t>, Routledge, London &amp; New York, 2000, https://doi.org/10.4324/9780203195673,geography, tr.249, tourism, tr.585.</w:t>
      </w:r>
    </w:p>
    <w:p w:rsidR="00B14DFA" w:rsidRPr="00B14DFA" w:rsidRDefault="00B14DFA" w:rsidP="00B14DFA">
      <w:pPr>
        <w:widowControl w:val="0"/>
        <w:numPr>
          <w:ilvl w:val="0"/>
          <w:numId w:val="1"/>
        </w:numPr>
        <w:shd w:val="clear" w:color="auto" w:fill="FFFFFF"/>
        <w:tabs>
          <w:tab w:val="left" w:pos="284"/>
        </w:tabs>
        <w:autoSpaceDE w:val="0"/>
        <w:autoSpaceDN w:val="0"/>
        <w:adjustRightInd w:val="0"/>
        <w:spacing w:after="0" w:line="240" w:lineRule="auto"/>
        <w:ind w:hanging="11"/>
        <w:contextualSpacing/>
        <w:jc w:val="left"/>
        <w:rPr>
          <w:rFonts w:eastAsia="Times New Roman" w:cs="Times New Roman"/>
          <w:sz w:val="24"/>
          <w:szCs w:val="24"/>
          <w:lang w:val="vi-VN"/>
        </w:rPr>
      </w:pPr>
      <w:r w:rsidRPr="00B14DFA">
        <w:rPr>
          <w:rFonts w:eastAsia="Times New Roman" w:cs="Times New Roman"/>
          <w:sz w:val="24"/>
          <w:szCs w:val="24"/>
          <w:lang w:val="vi-VN"/>
        </w:rPr>
        <w:t xml:space="preserve">Jafari, J., &amp; Xiao, H., </w:t>
      </w:r>
      <w:r w:rsidRPr="00B14DFA">
        <w:rPr>
          <w:rFonts w:eastAsia="Times New Roman" w:cs="Times New Roman"/>
          <w:i/>
          <w:sz w:val="24"/>
          <w:szCs w:val="24"/>
          <w:lang w:val="vi-VN"/>
        </w:rPr>
        <w:t>Encyclopedia of Tourism</w:t>
      </w:r>
      <w:r w:rsidRPr="00B14DFA">
        <w:rPr>
          <w:rFonts w:eastAsia="Times New Roman" w:cs="Times New Roman"/>
          <w:sz w:val="24"/>
          <w:szCs w:val="24"/>
          <w:lang w:val="vi-VN"/>
        </w:rPr>
        <w:t>, Springer Reference, 2016, https://link.springer.com/referencework/10.1007/978-3-319-01384-8, marine tourism, tr.585.</w:t>
      </w:r>
    </w:p>
    <w:p w:rsidR="00EB5AB5" w:rsidRPr="00DB65F1" w:rsidRDefault="00B14DFA" w:rsidP="00B14DFA">
      <w:pPr>
        <w:rPr>
          <w:lang w:val="vi"/>
        </w:rPr>
      </w:pPr>
      <w:r w:rsidRPr="00B14DFA">
        <w:rPr>
          <w:rFonts w:eastAsia="Times New Roman" w:cs="Times New Roman"/>
          <w:sz w:val="24"/>
          <w:szCs w:val="24"/>
          <w:lang w:val="vi-VN"/>
        </w:rPr>
        <w:fldChar w:fldCharType="end"/>
      </w:r>
    </w:p>
    <w:sectPr w:rsidR="00EB5AB5" w:rsidRPr="00DB65F1"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93B82"/>
    <w:multiLevelType w:val="multilevel"/>
    <w:tmpl w:val="60793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F1"/>
    <w:rsid w:val="006F23EF"/>
    <w:rsid w:val="00B14DFA"/>
    <w:rsid w:val="00DB65F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2128"/>
  <w15:chartTrackingRefBased/>
  <w15:docId w15:val="{26741B7A-DDD6-4AB4-AD5D-F14AC5B2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5F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7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2</cp:revision>
  <dcterms:created xsi:type="dcterms:W3CDTF">2026-06-27T15:33:00Z</dcterms:created>
  <dcterms:modified xsi:type="dcterms:W3CDTF">2026-06-27T15:37:00Z</dcterms:modified>
</cp:coreProperties>
</file>